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line="360" w:lineRule="auto"/>
        <w:jc w:val="center"/>
        <w:rPr>
          <w:rFonts w:hint="eastAsia" w:ascii="仿宋_GB2312" w:eastAsia="仿宋_GB2312"/>
          <w:b/>
          <w:kern w:val="2"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kern w:val="2"/>
          <w:sz w:val="36"/>
          <w:szCs w:val="36"/>
          <w:lang w:val="en-US" w:eastAsia="zh-CN"/>
        </w:rPr>
        <w:t>机电学院</w:t>
      </w:r>
      <w:r>
        <w:rPr>
          <w:rFonts w:hint="eastAsia" w:ascii="仿宋_GB2312" w:eastAsia="仿宋_GB2312"/>
          <w:b/>
          <w:kern w:val="2"/>
          <w:sz w:val="36"/>
          <w:szCs w:val="36"/>
        </w:rPr>
        <w:t>2022</w:t>
      </w:r>
      <w:r>
        <w:rPr>
          <w:rFonts w:hint="eastAsia" w:ascii="仿宋_GB2312" w:eastAsia="仿宋_GB2312"/>
          <w:b/>
          <w:kern w:val="2"/>
          <w:sz w:val="36"/>
          <w:szCs w:val="36"/>
          <w:lang w:val="en-US" w:eastAsia="zh-CN"/>
        </w:rPr>
        <w:t>届</w:t>
      </w:r>
      <w:r>
        <w:rPr>
          <w:rFonts w:hint="eastAsia" w:ascii="仿宋_GB2312" w:eastAsia="仿宋_GB2312"/>
          <w:b/>
          <w:kern w:val="2"/>
          <w:sz w:val="36"/>
          <w:szCs w:val="36"/>
        </w:rPr>
        <w:t>推荐优秀应届本科毕业生免试攻读研究生遴选综合评价</w:t>
      </w:r>
      <w:r>
        <w:rPr>
          <w:rFonts w:hint="eastAsia" w:ascii="仿宋_GB2312" w:eastAsia="仿宋_GB2312"/>
          <w:b/>
          <w:kern w:val="2"/>
          <w:sz w:val="36"/>
          <w:szCs w:val="36"/>
          <w:lang w:val="en-US" w:eastAsia="zh-CN"/>
        </w:rPr>
        <w:t>办法</w:t>
      </w:r>
    </w:p>
    <w:p>
      <w:pPr>
        <w:spacing w:line="560" w:lineRule="exact"/>
        <w:ind w:right="105" w:rightChars="50" w:firstLine="640" w:firstLineChars="200"/>
        <w:jc w:val="both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</w:p>
    <w:p>
      <w:pPr>
        <w:spacing w:line="560" w:lineRule="exact"/>
        <w:ind w:right="105" w:rightChars="50" w:firstLine="640" w:firstLineChars="200"/>
        <w:jc w:val="both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为进一步深化人才培养改革，强化推荐免试硕士的综合素质考察，提升推荐免试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硕士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选拔工作的科学化水平，选拔出更多符合时代发展、行业革新的拔尖创新型人才，现将机电学院推荐免试硕士综合评分办法改革如下。</w:t>
      </w:r>
    </w:p>
    <w:p>
      <w:pPr>
        <w:spacing w:line="560" w:lineRule="exact"/>
        <w:ind w:right="105" w:rightChars="50" w:firstLine="640" w:firstLineChars="200"/>
        <w:jc w:val="both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本办法适用于本硕连读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和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普通类推免选拔，支教专项推免严格按照9月份学校发布的推免工作细则执行，由学生申报，学校组织遴选。鼓励符合推免条件的学生申报直博生，由学院组织评审。</w:t>
      </w:r>
    </w:p>
    <w:p>
      <w:pPr>
        <w:spacing w:line="560" w:lineRule="exact"/>
        <w:ind w:right="105" w:rightChars="5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一、推免基本条件</w:t>
      </w:r>
    </w:p>
    <w:p>
      <w:pPr>
        <w:spacing w:line="560" w:lineRule="exact"/>
        <w:ind w:right="105" w:rightChars="50"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  <w:highlight w:val="none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  <w:highlight w:val="none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应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highlight w:val="none"/>
        </w:rPr>
        <w:t>为应届毕业年级学生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，思想品德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highlight w:val="none"/>
        </w:rPr>
        <w:t>考核合格，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未违背学术诚信，无考试违纪、考试作弊行为。</w:t>
      </w:r>
    </w:p>
    <w:p>
      <w:pPr>
        <w:spacing w:line="560" w:lineRule="exact"/>
        <w:ind w:right="105" w:rightChars="50"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  <w:highlight w:val="none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  <w:highlight w:val="none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学习成绩优良，须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highlight w:val="none"/>
        </w:rPr>
        <w:t>通过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当前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highlight w:val="none"/>
        </w:rPr>
        <w:t>全部应修的必修课程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，必修课程的平均学分绩点大于等于3.2。</w:t>
      </w:r>
    </w:p>
    <w:p>
      <w:pPr>
        <w:spacing w:line="560" w:lineRule="exact"/>
        <w:ind w:right="105" w:rightChars="50"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3.综合能力强，学术研究兴趣浓厚，具有国际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highlight w:val="none"/>
        </w:rPr>
        <w:t>视野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和较强的专业素质能力、科研创新潜质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highlight w:val="none"/>
        </w:rPr>
        <w:t>。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line="360" w:lineRule="auto"/>
        <w:rPr>
          <w:rFonts w:ascii="仿宋_GB2312" w:eastAsia="仿宋_GB2312"/>
          <w:b/>
          <w:kern w:val="2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kern w:val="2"/>
          <w:sz w:val="32"/>
          <w:szCs w:val="32"/>
          <w:highlight w:val="none"/>
        </w:rPr>
        <w:t>遴选综合评价指标体系</w:t>
      </w:r>
    </w:p>
    <w:p>
      <w:pPr>
        <w:pStyle w:val="5"/>
        <w:widowControl/>
        <w:shd w:val="clear" w:color="auto" w:fill="FFFFFF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（一）申请推免资格，须满足推免基本条件和以下条件之一：</w:t>
      </w:r>
    </w:p>
    <w:p>
      <w:pPr>
        <w:spacing w:line="560" w:lineRule="exact"/>
        <w:ind w:right="105" w:rightChars="50"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条件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.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highlight w:val="none"/>
        </w:rPr>
        <w:t>本硕（博）连读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培养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highlight w:val="none"/>
        </w:rPr>
        <w:t>且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/>
        </w:rPr>
        <w:t>学年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highlight w:val="none"/>
        </w:rPr>
        <w:t>考核合格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；</w:t>
      </w:r>
    </w:p>
    <w:p>
      <w:pPr>
        <w:spacing w:line="560" w:lineRule="exact"/>
        <w:ind w:right="105" w:rightChars="50"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条件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.必修课程平均学分绩点在专业排名前20%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不包含本硕连读培养学生进行的专业排名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；</w:t>
      </w:r>
    </w:p>
    <w:p>
      <w:pPr>
        <w:widowControl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1"/>
          <w:szCs w:val="31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条件3.必修课程平均学分绩点在专业排名前45%，且本科阶段</w:t>
      </w:r>
      <w:r>
        <w:rPr>
          <w:rFonts w:ascii="仿宋_GB2312" w:hAnsi="宋体" w:eastAsia="仿宋_GB2312" w:cs="宋体"/>
          <w:color w:val="000000"/>
          <w:sz w:val="32"/>
          <w:szCs w:val="32"/>
          <w:highlight w:val="none"/>
        </w:rPr>
        <w:t>在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Ⅰ级甲等、Ⅰ级乙等竞赛中获得前三等次奖项或在Ⅱ级甲等竞赛（全国赛）中获得前二等次奖项。</w:t>
      </w:r>
    </w:p>
    <w:p>
      <w:pPr>
        <w:pStyle w:val="14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Ⅰ级甲等、Ⅰ级乙等竞赛中获得第一等次奖的团队，团队排名须在前6名；获得第二、三等次奖的团队，团队排名须在前5名；在Ⅱ级甲等竞赛（全国赛）中获得第二等次及以上奖项的团队，团队排名须在前4名。</w:t>
      </w:r>
    </w:p>
    <w:p>
      <w:pPr>
        <w:pStyle w:val="14"/>
        <w:ind w:firstLine="640" w:firstLineChars="200"/>
        <w:rPr>
          <w:rFonts w:ascii="仿宋_GB2312" w:hAnsi="宋体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条件4.必修课程平均学分绩点在专业排名前45%，且本科阶段在核心期刊上以独立作者、第一作者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其他作者中无直系亲属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发表与学业相关且被学院专家审核小组认可的科研论文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widowControl/>
        <w:shd w:val="clear" w:color="auto" w:fill="FFFFFF"/>
        <w:spacing w:line="360" w:lineRule="auto"/>
        <w:ind w:firstLine="640" w:firstLineChars="200"/>
        <w:rPr>
          <w:rFonts w:ascii="仿宋_GB2312" w:hAnsi="宋体" w:eastAsia="仿宋_GB2312" w:cs="宋体"/>
          <w:color w:val="FF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（二）</w:t>
      </w:r>
      <w:r>
        <w:rPr>
          <w:rFonts w:ascii="仿宋_GB2312" w:hAnsi="宋体" w:eastAsia="仿宋_GB2312" w:cs="宋体"/>
          <w:color w:val="000000"/>
          <w:sz w:val="32"/>
          <w:szCs w:val="32"/>
          <w:highlight w:val="none"/>
        </w:rPr>
        <w:t>推免资格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依据推免遴选综合评价分进行排名，择优授予。</w:t>
      </w:r>
      <w:r>
        <w:rPr>
          <w:rFonts w:hint="eastAsia" w:ascii="仿宋_GB2312" w:hAnsi="宋体" w:eastAsia="仿宋_GB2312" w:cs="宋体"/>
          <w:sz w:val="32"/>
          <w:szCs w:val="32"/>
          <w:highlight w:val="none"/>
        </w:rPr>
        <w:t>符合推免基本条件的学生可对照相应的要求选择其中一类申请。</w:t>
      </w:r>
    </w:p>
    <w:p>
      <w:pPr>
        <w:pStyle w:val="5"/>
        <w:widowControl/>
        <w:shd w:val="clear" w:color="auto" w:fill="FFFFFF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推免综合评价分=学习能力分</w:t>
      </w:r>
      <w:r>
        <w:rPr>
          <w:rFonts w:ascii="仿宋_GB2312" w:hAnsi="宋体" w:eastAsia="仿宋_GB2312" w:cs="宋体"/>
          <w:color w:val="000000"/>
          <w:sz w:val="32"/>
          <w:szCs w:val="32"/>
        </w:rPr>
        <w:t>+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创新能力分+素质拓展分</w:t>
      </w:r>
    </w:p>
    <w:p>
      <w:pPr>
        <w:pStyle w:val="5"/>
        <w:widowControl/>
        <w:shd w:val="clear" w:color="auto" w:fill="FFFFFF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学习能力分主要依据必修课平均学分绩点，在综合评价分中所占比率不低于70%。</w:t>
      </w:r>
    </w:p>
    <w:p>
      <w:pPr>
        <w:pStyle w:val="5"/>
        <w:widowControl/>
        <w:shd w:val="clear" w:color="auto" w:fill="FFFFFF"/>
        <w:spacing w:line="360" w:lineRule="auto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如果综合评分相同，则以教务系统必修课程平均绩点进行排列，优先推荐。如果必修课程平均绩点仍然相同，则以教务系统所有课程平均绩点进行排列，优先推荐。如果所有课程平均绩点仍然相同，则以教务系统必修课程平均绩点小数点后两位进行排列，以此类推。</w:t>
      </w:r>
    </w:p>
    <w:p>
      <w:pPr>
        <w:pStyle w:val="5"/>
        <w:widowControl/>
        <w:shd w:val="clear" w:color="auto" w:fill="FFFFFF"/>
        <w:spacing w:line="360" w:lineRule="auto"/>
        <w:ind w:firstLine="645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（三）学习能力分</w:t>
      </w:r>
    </w:p>
    <w:p>
      <w:pPr>
        <w:pStyle w:val="5"/>
        <w:widowControl/>
        <w:shd w:val="clear" w:color="auto" w:fill="FFFFFF"/>
        <w:spacing w:line="360" w:lineRule="auto"/>
        <w:ind w:firstLine="645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1.符合条件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、3和4的学生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学习能力分=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必修课程平均学分绩点。</w:t>
      </w:r>
    </w:p>
    <w:p>
      <w:pPr>
        <w:pStyle w:val="5"/>
        <w:widowControl/>
        <w:shd w:val="clear" w:color="auto" w:fill="FFFFFF"/>
        <w:spacing w:line="360" w:lineRule="auto"/>
        <w:ind w:firstLine="645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2.符合条件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的学生学习能力分=必修课程平均学分绩点+0.8。</w:t>
      </w:r>
    </w:p>
    <w:p>
      <w:pPr>
        <w:pStyle w:val="5"/>
        <w:widowControl/>
        <w:shd w:val="clear" w:color="auto" w:fill="FFFFFF"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3.必修课程平均学分绩点以教务系统数据为准。</w:t>
      </w:r>
    </w:p>
    <w:p>
      <w:pPr>
        <w:pStyle w:val="5"/>
        <w:widowControl/>
        <w:shd w:val="clear" w:color="auto" w:fill="FFFFFF"/>
        <w:spacing w:line="360" w:lineRule="auto"/>
        <w:ind w:firstLine="645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（四）创新能力分</w:t>
      </w:r>
    </w:p>
    <w:p>
      <w:pPr>
        <w:pStyle w:val="5"/>
        <w:widowControl/>
        <w:shd w:val="clear" w:color="auto" w:fill="FFFFFF"/>
        <w:spacing w:line="360" w:lineRule="auto"/>
        <w:ind w:firstLine="645"/>
        <w:rPr>
          <w:rFonts w:hint="eastAsia" w:ascii="仿宋_GB2312" w:hAnsi="宋体" w:eastAsia="仿宋_GB2312" w:cs="宋体"/>
          <w:color w:val="000000"/>
          <w:sz w:val="32"/>
          <w:szCs w:val="32"/>
          <w:highlight w:val="yellow"/>
          <w:lang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1.创新能力分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评分依据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包括与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学业</w:t>
      </w:r>
      <w:r>
        <w:rPr>
          <w:rFonts w:ascii="仿宋_GB2312" w:hAnsi="宋体" w:eastAsia="仿宋_GB2312" w:cs="宋体"/>
          <w:color w:val="000000"/>
          <w:sz w:val="32"/>
          <w:szCs w:val="32"/>
        </w:rPr>
        <w:t>相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关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的</w:t>
      </w:r>
      <w:r>
        <w:rPr>
          <w:rFonts w:ascii="仿宋_GB2312" w:hAnsi="宋体" w:eastAsia="仿宋_GB2312" w:cs="宋体"/>
          <w:color w:val="000000"/>
          <w:sz w:val="32"/>
          <w:szCs w:val="32"/>
        </w:rPr>
        <w:t>学科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竞赛奖项、</w:t>
      </w:r>
      <w:r>
        <w:rPr>
          <w:rFonts w:ascii="仿宋_GB2312" w:hAnsi="宋体" w:eastAsia="仿宋_GB2312" w:cs="宋体"/>
          <w:color w:val="000000"/>
          <w:sz w:val="32"/>
          <w:szCs w:val="32"/>
        </w:rPr>
        <w:t>科研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论文和创新项目。</w:t>
      </w:r>
      <w:r>
        <w:rPr>
          <w:rFonts w:ascii="仿宋_GB2312" w:hAnsi="宋体" w:eastAsia="仿宋_GB2312" w:cs="宋体"/>
          <w:b/>
          <w:bCs/>
          <w:color w:val="000000"/>
          <w:sz w:val="32"/>
          <w:szCs w:val="32"/>
          <w:highlight w:val="none"/>
        </w:rPr>
        <w:t>学生在学科竞赛</w:t>
      </w: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highlight w:val="none"/>
        </w:rPr>
        <w:t>、</w:t>
      </w:r>
      <w:r>
        <w:rPr>
          <w:rFonts w:ascii="仿宋_GB2312" w:hAnsi="宋体" w:eastAsia="仿宋_GB2312" w:cs="宋体"/>
          <w:b/>
          <w:bCs/>
          <w:color w:val="000000"/>
          <w:sz w:val="32"/>
          <w:szCs w:val="32"/>
          <w:highlight w:val="none"/>
        </w:rPr>
        <w:t>科研</w:t>
      </w: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highlight w:val="none"/>
        </w:rPr>
        <w:t>论文或创新项目</w:t>
      </w:r>
      <w:r>
        <w:rPr>
          <w:rFonts w:ascii="仿宋_GB2312" w:hAnsi="宋体" w:eastAsia="仿宋_GB2312" w:cs="宋体"/>
          <w:b/>
          <w:bCs/>
          <w:color w:val="000000"/>
          <w:sz w:val="32"/>
          <w:szCs w:val="32"/>
          <w:highlight w:val="none"/>
        </w:rPr>
        <w:t>有多项</w:t>
      </w: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highlight w:val="none"/>
        </w:rPr>
        <w:t>加</w:t>
      </w:r>
      <w:r>
        <w:rPr>
          <w:rFonts w:ascii="仿宋_GB2312" w:hAnsi="宋体" w:eastAsia="仿宋_GB2312" w:cs="宋体"/>
          <w:b/>
          <w:bCs/>
          <w:color w:val="000000"/>
          <w:sz w:val="32"/>
          <w:szCs w:val="32"/>
          <w:highlight w:val="none"/>
        </w:rPr>
        <w:t>分情况时，</w:t>
      </w: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highlight w:val="none"/>
        </w:rPr>
        <w:t>每个类别</w:t>
      </w:r>
      <w:r>
        <w:rPr>
          <w:rFonts w:ascii="仿宋_GB2312" w:hAnsi="宋体" w:eastAsia="仿宋_GB2312" w:cs="宋体"/>
          <w:b/>
          <w:bCs/>
          <w:color w:val="000000"/>
          <w:sz w:val="32"/>
          <w:szCs w:val="32"/>
          <w:highlight w:val="none"/>
        </w:rPr>
        <w:t>取其中最高项得分</w:t>
      </w: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  <w:highlight w:val="none"/>
        </w:rPr>
        <w:t>，不重复计分</w:t>
      </w:r>
      <w:r>
        <w:rPr>
          <w:rFonts w:ascii="仿宋_GB2312" w:hAnsi="宋体" w:eastAsia="仿宋_GB2312" w:cs="宋体"/>
          <w:b/>
          <w:bCs/>
          <w:color w:val="000000"/>
          <w:sz w:val="32"/>
          <w:szCs w:val="32"/>
          <w:highlight w:val="none"/>
        </w:rPr>
        <w:t>。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eastAsia="zh-CN"/>
        </w:rPr>
        <w:t>（参与评分的学科竞赛等级参照南航最新版的科创竞赛认定结果，其中仅对创新创业类、学科知识类竞赛进行认定，除以上情形者，不予以认定。）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.符合条件3的学生创新能力分不高于1.0分，创新能力分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评分依据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只包括竞赛奖项，评分标准见下表：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4"/>
        <w:gridCol w:w="1620"/>
        <w:gridCol w:w="177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934" w:type="dxa"/>
          </w:tcPr>
          <w:p>
            <w:pPr>
              <w:widowControl/>
              <w:shd w:val="clear" w:color="auto" w:fill="FFFFFF"/>
              <w:spacing w:before="15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竞赛等级</w:t>
            </w:r>
          </w:p>
        </w:tc>
        <w:tc>
          <w:tcPr>
            <w:tcW w:w="1620" w:type="dxa"/>
          </w:tcPr>
          <w:p>
            <w:pPr>
              <w:widowControl/>
              <w:shd w:val="clear" w:color="auto" w:fill="FFFFFF"/>
              <w:spacing w:before="15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第一等次</w:t>
            </w:r>
          </w:p>
        </w:tc>
        <w:tc>
          <w:tcPr>
            <w:tcW w:w="1770" w:type="dxa"/>
          </w:tcPr>
          <w:p>
            <w:pPr>
              <w:widowControl/>
              <w:shd w:val="clear" w:color="auto" w:fill="FFFFFF"/>
              <w:spacing w:before="15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第二等次</w:t>
            </w:r>
          </w:p>
        </w:tc>
        <w:tc>
          <w:tcPr>
            <w:tcW w:w="1695" w:type="dxa"/>
          </w:tcPr>
          <w:p>
            <w:pPr>
              <w:widowControl/>
              <w:shd w:val="clear" w:color="auto" w:fill="FFFFFF"/>
              <w:spacing w:before="15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第三等次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934" w:type="dxa"/>
          </w:tcPr>
          <w:p>
            <w:pPr>
              <w:pStyle w:val="5"/>
              <w:widowControl/>
              <w:shd w:val="clear" w:color="auto" w:fill="FFFFFF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Ⅰ级甲等</w:t>
            </w:r>
          </w:p>
        </w:tc>
        <w:tc>
          <w:tcPr>
            <w:tcW w:w="1620" w:type="dxa"/>
          </w:tcPr>
          <w:p>
            <w:pPr>
              <w:pStyle w:val="5"/>
              <w:widowControl/>
              <w:shd w:val="clear" w:color="auto" w:fill="FFFFFF"/>
              <w:spacing w:line="360" w:lineRule="auto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1.0</w:t>
            </w:r>
          </w:p>
        </w:tc>
        <w:tc>
          <w:tcPr>
            <w:tcW w:w="1770" w:type="dxa"/>
          </w:tcPr>
          <w:p>
            <w:pPr>
              <w:pStyle w:val="5"/>
              <w:widowControl/>
              <w:shd w:val="clear" w:color="auto" w:fill="FFFFFF"/>
              <w:spacing w:line="360" w:lineRule="auto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0.</w:t>
            </w:r>
            <w:r>
              <w:rPr>
                <w:rFonts w:ascii="仿宋_GB2312" w:eastAsia="仿宋_GB2312"/>
                <w:sz w:val="30"/>
                <w:szCs w:val="30"/>
              </w:rPr>
              <w:t>9</w:t>
            </w:r>
            <w:r>
              <w:rPr>
                <w:rFonts w:hint="eastAsia" w:ascii="仿宋_GB2312" w:eastAsia="仿宋_GB2312"/>
                <w:sz w:val="30"/>
                <w:szCs w:val="30"/>
              </w:rPr>
              <w:t>5</w:t>
            </w:r>
          </w:p>
        </w:tc>
        <w:tc>
          <w:tcPr>
            <w:tcW w:w="1695" w:type="dxa"/>
          </w:tcPr>
          <w:p>
            <w:pPr>
              <w:pStyle w:val="5"/>
              <w:widowControl/>
              <w:shd w:val="clear" w:color="auto" w:fill="FFFFFF"/>
              <w:spacing w:line="360" w:lineRule="auto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0.</w:t>
            </w:r>
            <w:r>
              <w:rPr>
                <w:rFonts w:ascii="仿宋_GB2312" w:eastAsia="仿宋_GB2312"/>
                <w:sz w:val="30"/>
                <w:szCs w:val="30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934" w:type="dxa"/>
          </w:tcPr>
          <w:p>
            <w:pPr>
              <w:pStyle w:val="5"/>
              <w:widowControl/>
              <w:shd w:val="clear" w:color="auto" w:fill="FFFFFF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Ⅰ级乙等</w:t>
            </w:r>
          </w:p>
        </w:tc>
        <w:tc>
          <w:tcPr>
            <w:tcW w:w="1620" w:type="dxa"/>
          </w:tcPr>
          <w:p>
            <w:pPr>
              <w:pStyle w:val="5"/>
              <w:widowControl/>
              <w:shd w:val="clear" w:color="auto" w:fill="FFFFFF"/>
              <w:spacing w:line="360" w:lineRule="auto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0.</w:t>
            </w:r>
            <w:r>
              <w:rPr>
                <w:rFonts w:ascii="仿宋_GB2312" w:eastAsia="仿宋_GB2312"/>
                <w:sz w:val="30"/>
                <w:szCs w:val="30"/>
              </w:rPr>
              <w:t>8</w:t>
            </w:r>
            <w:r>
              <w:rPr>
                <w:rFonts w:hint="eastAsia" w:ascii="仿宋_GB2312" w:eastAsia="仿宋_GB2312"/>
                <w:sz w:val="30"/>
                <w:szCs w:val="30"/>
              </w:rPr>
              <w:t>5</w:t>
            </w:r>
          </w:p>
        </w:tc>
        <w:tc>
          <w:tcPr>
            <w:tcW w:w="1770" w:type="dxa"/>
          </w:tcPr>
          <w:p>
            <w:pPr>
              <w:pStyle w:val="5"/>
              <w:widowControl/>
              <w:shd w:val="clear" w:color="auto" w:fill="FFFFFF"/>
              <w:spacing w:line="360" w:lineRule="auto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0.</w:t>
            </w:r>
            <w:r>
              <w:rPr>
                <w:rFonts w:ascii="仿宋_GB2312" w:eastAsia="仿宋_GB2312"/>
                <w:sz w:val="30"/>
                <w:szCs w:val="30"/>
              </w:rPr>
              <w:t>8</w:t>
            </w:r>
          </w:p>
        </w:tc>
        <w:tc>
          <w:tcPr>
            <w:tcW w:w="1695" w:type="dxa"/>
          </w:tcPr>
          <w:p>
            <w:pPr>
              <w:pStyle w:val="5"/>
              <w:widowControl/>
              <w:shd w:val="clear" w:color="auto" w:fill="FFFFFF"/>
              <w:spacing w:line="360" w:lineRule="auto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0.</w:t>
            </w:r>
            <w:r>
              <w:rPr>
                <w:rFonts w:ascii="仿宋_GB2312" w:eastAsia="仿宋_GB2312"/>
                <w:sz w:val="30"/>
                <w:szCs w:val="30"/>
              </w:rPr>
              <w:t>7</w:t>
            </w:r>
            <w:r>
              <w:rPr>
                <w:rFonts w:hint="eastAsia" w:ascii="仿宋_GB2312" w:eastAsia="仿宋_GB2312"/>
                <w:sz w:val="30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934" w:type="dxa"/>
          </w:tcPr>
          <w:p>
            <w:pPr>
              <w:pStyle w:val="5"/>
              <w:widowControl/>
              <w:shd w:val="clear" w:color="auto" w:fill="FFFFFF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Ⅱ级甲等</w:t>
            </w:r>
          </w:p>
          <w:p>
            <w:pPr>
              <w:pStyle w:val="5"/>
              <w:widowControl/>
              <w:shd w:val="clear" w:color="auto" w:fill="FFFFFF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（全国赛）</w:t>
            </w:r>
          </w:p>
        </w:tc>
        <w:tc>
          <w:tcPr>
            <w:tcW w:w="1620" w:type="dxa"/>
            <w:vAlign w:val="center"/>
          </w:tcPr>
          <w:p>
            <w:pPr>
              <w:pStyle w:val="5"/>
              <w:widowControl/>
              <w:shd w:val="clear" w:color="auto" w:fill="FFFFFF"/>
              <w:spacing w:line="360" w:lineRule="auto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0.</w:t>
            </w:r>
            <w:r>
              <w:rPr>
                <w:rFonts w:ascii="仿宋_GB2312" w:eastAsia="仿宋_GB2312"/>
                <w:sz w:val="30"/>
                <w:szCs w:val="30"/>
              </w:rPr>
              <w:t>7</w:t>
            </w:r>
          </w:p>
        </w:tc>
        <w:tc>
          <w:tcPr>
            <w:tcW w:w="1770" w:type="dxa"/>
            <w:vAlign w:val="center"/>
          </w:tcPr>
          <w:p>
            <w:pPr>
              <w:pStyle w:val="5"/>
              <w:widowControl/>
              <w:shd w:val="clear" w:color="auto" w:fill="FFFFFF"/>
              <w:spacing w:line="360" w:lineRule="auto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0.</w:t>
            </w:r>
            <w:r>
              <w:rPr>
                <w:rFonts w:ascii="仿宋_GB2312" w:eastAsia="仿宋_GB2312"/>
                <w:sz w:val="30"/>
                <w:szCs w:val="30"/>
              </w:rPr>
              <w:t>6</w:t>
            </w:r>
            <w:r>
              <w:rPr>
                <w:rFonts w:hint="eastAsia" w:ascii="仿宋_GB2312" w:eastAsia="仿宋_GB2312"/>
                <w:sz w:val="30"/>
                <w:szCs w:val="30"/>
              </w:rPr>
              <w:t>5</w:t>
            </w:r>
          </w:p>
        </w:tc>
        <w:tc>
          <w:tcPr>
            <w:tcW w:w="1695" w:type="dxa"/>
            <w:vAlign w:val="center"/>
          </w:tcPr>
          <w:p>
            <w:pPr>
              <w:pStyle w:val="5"/>
              <w:widowControl/>
              <w:shd w:val="clear" w:color="auto" w:fill="FFFFFF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/</w:t>
            </w:r>
          </w:p>
        </w:tc>
      </w:tr>
    </w:tbl>
    <w:p>
      <w:pPr>
        <w:widowControl/>
        <w:ind w:firstLine="640" w:firstLineChars="200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sz w:val="32"/>
          <w:szCs w:val="32"/>
          <w:highlight w:val="none"/>
          <w:lang w:eastAsia="zh-CN"/>
        </w:rPr>
        <w:t>若以团队参赛的，在对应的创新能力分的分值上减去0.01*（团队排名-1）。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.符合条件4且论文已见刊的学生，创新能力分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评分依据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只包括科研论文，创新能力分由学院专家审核小组评定，评分范围为0.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-0.6。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在核心期刊发表论文，SCI、EI论文每篇以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  <w:t>0.6分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计，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eastAsia="zh-CN"/>
        </w:rPr>
        <w:t>独立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作者获全额分数，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eastAsia="zh-CN"/>
        </w:rPr>
        <w:t>第一作者获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  <w:t>0.5分；其他核心期刊论文每篇以0.4分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计，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eastAsia="zh-CN"/>
        </w:rPr>
        <w:t>独立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作者获全额分数，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eastAsia="zh-CN"/>
        </w:rPr>
        <w:t>第一作者获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  <w:t>0.3分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。（期刊认定以科技部发布的认定通知为标准）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符合条件1和2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的学生创新能力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分不高于0.2分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评分参考范围见下表：</w:t>
      </w:r>
    </w:p>
    <w:tbl>
      <w:tblPr>
        <w:tblStyle w:val="7"/>
        <w:tblW w:w="8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4"/>
        <w:gridCol w:w="2695"/>
        <w:gridCol w:w="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418" w:type="dxa"/>
          </w:tcPr>
          <w:p>
            <w:pPr>
              <w:widowControl/>
              <w:shd w:val="clear" w:color="auto" w:fill="FFFFFF"/>
              <w:spacing w:before="15"/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</w:rPr>
              <w:t>类别</w:t>
            </w:r>
          </w:p>
        </w:tc>
        <w:tc>
          <w:tcPr>
            <w:tcW w:w="2535" w:type="dxa"/>
          </w:tcPr>
          <w:p>
            <w:pPr>
              <w:widowControl/>
              <w:shd w:val="clear" w:color="auto" w:fill="FFFFFF"/>
              <w:spacing w:before="15"/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  <w:t>等级</w:t>
            </w:r>
          </w:p>
        </w:tc>
        <w:tc>
          <w:tcPr>
            <w:tcW w:w="2082" w:type="dxa"/>
          </w:tcPr>
          <w:p>
            <w:pPr>
              <w:widowControl/>
              <w:shd w:val="clear" w:color="auto" w:fill="FFFFFF"/>
              <w:spacing w:before="15"/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评分参考范围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418" w:type="dxa"/>
            <w:vAlign w:val="center"/>
          </w:tcPr>
          <w:p>
            <w:pPr>
              <w:pStyle w:val="5"/>
              <w:widowControl/>
              <w:shd w:val="clear" w:color="auto" w:fill="FFFFFF"/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竞赛</w:t>
            </w:r>
          </w:p>
        </w:tc>
        <w:tc>
          <w:tcPr>
            <w:tcW w:w="2535" w:type="dxa"/>
            <w:vAlign w:val="center"/>
          </w:tcPr>
          <w:p>
            <w:pPr>
              <w:pStyle w:val="5"/>
              <w:widowControl/>
              <w:shd w:val="clear" w:color="auto" w:fill="FFFFFF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条件3以外的</w:t>
            </w:r>
          </w:p>
          <w:p>
            <w:pPr>
              <w:pStyle w:val="5"/>
              <w:widowControl/>
              <w:shd w:val="clear" w:color="auto" w:fill="FFFFFF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其他</w:t>
            </w:r>
            <w:r>
              <w:rPr>
                <w:rFonts w:hint="eastAsia" w:ascii="仿宋_GB2312" w:eastAsia="仿宋_GB2312"/>
                <w:sz w:val="30"/>
                <w:szCs w:val="30"/>
              </w:rPr>
              <w:t>竞赛获奖</w:t>
            </w:r>
          </w:p>
        </w:tc>
        <w:tc>
          <w:tcPr>
            <w:tcW w:w="2082" w:type="dxa"/>
            <w:vAlign w:val="center"/>
          </w:tcPr>
          <w:p>
            <w:pPr>
              <w:pStyle w:val="5"/>
              <w:widowControl/>
              <w:shd w:val="clear" w:color="auto" w:fill="FFFFFF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≦</w:t>
            </w:r>
            <w:r>
              <w:rPr>
                <w:rFonts w:hint="eastAsia" w:ascii="仿宋_GB2312" w:eastAsia="仿宋_GB2312"/>
                <w:sz w:val="30"/>
                <w:szCs w:val="30"/>
              </w:rPr>
              <w:t>0.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3418" w:type="dxa"/>
            <w:vMerge w:val="restart"/>
            <w:vAlign w:val="center"/>
          </w:tcPr>
          <w:p>
            <w:pPr>
              <w:pStyle w:val="5"/>
              <w:widowControl/>
              <w:shd w:val="clear" w:color="auto" w:fill="FFFFFF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创新项目(包括创新训练计划项目、自由探索计划项目、工程实践计划项目、本科生学术论坛）</w:t>
            </w:r>
          </w:p>
        </w:tc>
        <w:tc>
          <w:tcPr>
            <w:tcW w:w="2535" w:type="dxa"/>
            <w:vAlign w:val="center"/>
          </w:tcPr>
          <w:p>
            <w:pPr>
              <w:pStyle w:val="5"/>
              <w:widowControl/>
              <w:shd w:val="clear" w:color="auto" w:fill="FFFFFF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国家级</w:t>
            </w:r>
          </w:p>
        </w:tc>
        <w:tc>
          <w:tcPr>
            <w:tcW w:w="2082" w:type="dxa"/>
            <w:vAlign w:val="center"/>
          </w:tcPr>
          <w:p>
            <w:pPr>
              <w:pStyle w:val="5"/>
              <w:widowControl/>
              <w:shd w:val="clear" w:color="auto" w:fill="FFFFFF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≦</w:t>
            </w:r>
            <w:r>
              <w:rPr>
                <w:rFonts w:hint="eastAsia" w:ascii="仿宋_GB2312" w:eastAsia="仿宋_GB2312"/>
                <w:sz w:val="30"/>
                <w:szCs w:val="30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418" w:type="dxa"/>
            <w:vMerge w:val="continue"/>
            <w:vAlign w:val="center"/>
          </w:tcPr>
          <w:p>
            <w:pPr>
              <w:pStyle w:val="5"/>
              <w:widowControl/>
              <w:shd w:val="clear" w:color="auto" w:fill="FFFFFF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35" w:type="dxa"/>
            <w:vAlign w:val="center"/>
          </w:tcPr>
          <w:p>
            <w:pPr>
              <w:pStyle w:val="5"/>
              <w:widowControl/>
              <w:shd w:val="clear" w:color="auto" w:fill="FFFFFF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省级</w:t>
            </w:r>
          </w:p>
        </w:tc>
        <w:tc>
          <w:tcPr>
            <w:tcW w:w="2082" w:type="dxa"/>
            <w:vAlign w:val="center"/>
          </w:tcPr>
          <w:p>
            <w:pPr>
              <w:pStyle w:val="5"/>
              <w:widowControl/>
              <w:shd w:val="clear" w:color="auto" w:fill="FFFFFF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≦</w:t>
            </w:r>
            <w:r>
              <w:rPr>
                <w:rFonts w:hint="eastAsia" w:ascii="仿宋_GB2312" w:eastAsia="仿宋_GB2312"/>
                <w:sz w:val="30"/>
                <w:szCs w:val="30"/>
              </w:rPr>
              <w:t>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418" w:type="dxa"/>
            <w:vMerge w:val="continue"/>
            <w:vAlign w:val="center"/>
          </w:tcPr>
          <w:p>
            <w:pPr>
              <w:pStyle w:val="5"/>
              <w:widowControl/>
              <w:shd w:val="clear" w:color="auto" w:fill="FFFFFF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35" w:type="dxa"/>
            <w:vAlign w:val="center"/>
          </w:tcPr>
          <w:p>
            <w:pPr>
              <w:pStyle w:val="5"/>
              <w:widowControl/>
              <w:shd w:val="clear" w:color="auto" w:fill="FFFFFF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校级</w:t>
            </w:r>
          </w:p>
        </w:tc>
        <w:tc>
          <w:tcPr>
            <w:tcW w:w="2082" w:type="dxa"/>
            <w:vAlign w:val="center"/>
          </w:tcPr>
          <w:p>
            <w:pPr>
              <w:pStyle w:val="5"/>
              <w:widowControl/>
              <w:shd w:val="clear" w:color="auto" w:fill="FFFFFF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≦</w:t>
            </w:r>
            <w:r>
              <w:rPr>
                <w:rFonts w:hint="eastAsia" w:ascii="仿宋_GB2312" w:eastAsia="仿宋_GB2312"/>
                <w:sz w:val="30"/>
                <w:szCs w:val="30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3418" w:type="dxa"/>
            <w:vMerge w:val="continue"/>
            <w:vAlign w:val="center"/>
          </w:tcPr>
          <w:p>
            <w:pPr>
              <w:pStyle w:val="5"/>
              <w:widowControl/>
              <w:shd w:val="clear" w:color="auto" w:fill="FFFFFF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35" w:type="dxa"/>
            <w:vAlign w:val="center"/>
          </w:tcPr>
          <w:p>
            <w:pPr>
              <w:pStyle w:val="5"/>
              <w:widowControl/>
              <w:shd w:val="clear" w:color="auto" w:fill="FFFFFF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院级</w:t>
            </w:r>
          </w:p>
        </w:tc>
        <w:tc>
          <w:tcPr>
            <w:tcW w:w="2082" w:type="dxa"/>
            <w:vAlign w:val="center"/>
          </w:tcPr>
          <w:p>
            <w:pPr>
              <w:pStyle w:val="5"/>
              <w:widowControl/>
              <w:shd w:val="clear" w:color="auto" w:fill="FFFFFF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≦</w:t>
            </w:r>
            <w:r>
              <w:rPr>
                <w:rFonts w:hint="eastAsia" w:ascii="仿宋_GB2312" w:eastAsia="仿宋_GB2312"/>
                <w:sz w:val="30"/>
                <w:szCs w:val="30"/>
              </w:rPr>
              <w:t>0.04</w:t>
            </w:r>
          </w:p>
        </w:tc>
      </w:tr>
    </w:tbl>
    <w:p>
      <w:pPr>
        <w:widowControl/>
        <w:numPr>
          <w:ilvl w:val="0"/>
          <w:numId w:val="2"/>
        </w:numPr>
        <w:ind w:left="0" w:leftChars="0" w:firstLine="640" w:firstLineChars="200"/>
        <w:jc w:val="left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eastAsia="zh-CN"/>
        </w:rPr>
        <w:t>学科竞赛的学分认定</w:t>
      </w:r>
    </w:p>
    <w:p>
      <w:pPr>
        <w:widowControl/>
        <w:numPr>
          <w:ilvl w:val="0"/>
          <w:numId w:val="0"/>
        </w:numPr>
        <w:ind w:leftChars="200" w:firstLine="640" w:firstLineChars="200"/>
        <w:jc w:val="left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eastAsia="zh-CN"/>
        </w:rPr>
        <w:t>以团队为单位参赛获奖，按照如下情况予以加分认定：</w:t>
      </w:r>
      <w:r>
        <w:rPr>
          <w:rFonts w:hint="eastAsia" w:ascii="仿宋" w:hAnsi="仿宋" w:eastAsia="仿宋"/>
          <w:sz w:val="32"/>
          <w:szCs w:val="32"/>
        </w:rPr>
        <w:t>三级类比赛</w:t>
      </w:r>
      <w:r>
        <w:rPr>
          <w:rFonts w:ascii="仿宋" w:hAnsi="仿宋" w:eastAsia="仿宋"/>
          <w:sz w:val="32"/>
          <w:szCs w:val="32"/>
        </w:rPr>
        <w:t>取</w:t>
      </w:r>
      <w:r>
        <w:rPr>
          <w:rFonts w:hint="eastAsia" w:ascii="仿宋" w:hAnsi="仿宋" w:eastAsia="仿宋"/>
          <w:sz w:val="32"/>
          <w:szCs w:val="32"/>
        </w:rPr>
        <w:t>前三名</w:t>
      </w:r>
      <w:r>
        <w:rPr>
          <w:rFonts w:ascii="仿宋" w:hAnsi="仿宋" w:eastAsia="仿宋"/>
          <w:sz w:val="32"/>
          <w:szCs w:val="32"/>
        </w:rPr>
        <w:t>加分</w:t>
      </w:r>
      <w:r>
        <w:rPr>
          <w:rFonts w:hint="eastAsia" w:ascii="仿宋" w:hAnsi="仿宋" w:eastAsia="仿宋"/>
          <w:sz w:val="32"/>
          <w:szCs w:val="32"/>
        </w:rPr>
        <w:t>；二级类比赛取前</w:t>
      </w:r>
      <w:r>
        <w:rPr>
          <w:rFonts w:hint="eastAsia" w:ascii="仿宋" w:hAnsi="仿宋" w:eastAsia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名加分；一级类比赛取前</w:t>
      </w:r>
      <w:r>
        <w:rPr>
          <w:rFonts w:hint="eastAsia" w:ascii="仿宋" w:hAnsi="仿宋" w:eastAsia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/>
          <w:sz w:val="32"/>
          <w:szCs w:val="32"/>
        </w:rPr>
        <w:t>名加分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eastAsia="zh-CN"/>
        </w:rPr>
        <w:t>排序以获奖证书名单顺序为准，如有特殊情况，由赛事组织单位或指导教师出具排序证明。</w:t>
      </w:r>
      <w:r>
        <w:rPr>
          <w:rFonts w:hint="eastAsia" w:ascii="仿宋_GB2312" w:hAnsi="宋体" w:eastAsia="仿宋_GB2312" w:cs="宋体"/>
          <w:b w:val="0"/>
          <w:bCs w:val="0"/>
          <w:color w:val="auto"/>
          <w:sz w:val="32"/>
          <w:szCs w:val="32"/>
          <w:highlight w:val="none"/>
          <w:lang w:eastAsia="zh-CN"/>
        </w:rPr>
        <w:t>经排序，第一位获全额学分，之后位次加一半的分数。</w:t>
      </w:r>
    </w:p>
    <w:p>
      <w:pPr>
        <w:widowControl/>
        <w:jc w:val="center"/>
        <w:rPr>
          <w:rFonts w:hint="eastAsia" w:ascii="仿宋_GB2312" w:hAnsi="宋体" w:eastAsia="仿宋_GB2312" w:cs="宋体"/>
          <w:color w:val="00000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学科竞赛评分认定表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3907"/>
        <w:gridCol w:w="2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9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竞赛级别</w:t>
            </w:r>
          </w:p>
        </w:tc>
        <w:tc>
          <w:tcPr>
            <w:tcW w:w="3907" w:type="dxa"/>
            <w:noWrap w:val="0"/>
            <w:vAlign w:val="top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获奖等级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ind w:left="-63" w:leftChars="-30"/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认定加分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  <w:jc w:val="center"/>
        </w:trPr>
        <w:tc>
          <w:tcPr>
            <w:tcW w:w="2089" w:type="dxa"/>
            <w:vMerge w:val="restart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I甲</w:t>
            </w:r>
          </w:p>
        </w:tc>
        <w:tc>
          <w:tcPr>
            <w:tcW w:w="390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一级甲等最高级别奖及第二高级别奖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outlineLvl w:val="0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89" w:type="dxa"/>
            <w:vMerge w:val="continue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907" w:type="dxa"/>
            <w:noWrap w:val="0"/>
            <w:vAlign w:val="top"/>
          </w:tcPr>
          <w:p>
            <w:pPr>
              <w:jc w:val="center"/>
              <w:outlineLvl w:val="0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设有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特等奖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的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jc w:val="center"/>
              <w:outlineLvl w:val="0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89" w:type="dxa"/>
            <w:vMerge w:val="continue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907" w:type="dxa"/>
            <w:noWrap w:val="0"/>
            <w:vAlign w:val="top"/>
          </w:tcPr>
          <w:p>
            <w:pPr>
              <w:jc w:val="center"/>
              <w:outlineLvl w:val="0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jc w:val="center"/>
              <w:outlineLvl w:val="0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89" w:type="dxa"/>
            <w:vMerge w:val="continue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907" w:type="dxa"/>
            <w:noWrap w:val="0"/>
            <w:vAlign w:val="top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优秀奖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jc w:val="center"/>
              <w:outlineLvl w:val="0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" w:hRule="atLeast"/>
          <w:jc w:val="center"/>
        </w:trPr>
        <w:tc>
          <w:tcPr>
            <w:tcW w:w="2089" w:type="dxa"/>
            <w:vMerge w:val="restart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Ⅰ乙</w:t>
            </w:r>
          </w:p>
        </w:tc>
        <w:tc>
          <w:tcPr>
            <w:tcW w:w="3907" w:type="dxa"/>
            <w:noWrap w:val="0"/>
            <w:vAlign w:val="top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一等奖及以上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  <w:jc w:val="center"/>
        </w:trPr>
        <w:tc>
          <w:tcPr>
            <w:tcW w:w="2089" w:type="dxa"/>
            <w:vMerge w:val="continue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907" w:type="dxa"/>
            <w:noWrap w:val="0"/>
            <w:vAlign w:val="top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  <w:jc w:val="center"/>
        </w:trPr>
        <w:tc>
          <w:tcPr>
            <w:tcW w:w="2089" w:type="dxa"/>
            <w:vMerge w:val="continue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907" w:type="dxa"/>
            <w:noWrap w:val="0"/>
            <w:vAlign w:val="top"/>
          </w:tcPr>
          <w:p>
            <w:pPr>
              <w:jc w:val="center"/>
              <w:outlineLvl w:val="0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  <w:jc w:val="center"/>
        </w:trPr>
        <w:tc>
          <w:tcPr>
            <w:tcW w:w="2089" w:type="dxa"/>
            <w:vMerge w:val="continue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907" w:type="dxa"/>
            <w:noWrap w:val="0"/>
            <w:vAlign w:val="top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优秀奖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89" w:type="dxa"/>
            <w:vMerge w:val="restart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Ⅱ甲</w:t>
            </w:r>
          </w:p>
        </w:tc>
        <w:tc>
          <w:tcPr>
            <w:tcW w:w="3907" w:type="dxa"/>
            <w:noWrap w:val="0"/>
            <w:vAlign w:val="top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一等奖及以上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jc w:val="center"/>
              <w:outlineLvl w:val="0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89" w:type="dxa"/>
            <w:vMerge w:val="continue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907" w:type="dxa"/>
            <w:noWrap w:val="0"/>
            <w:vAlign w:val="top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jc w:val="center"/>
              <w:outlineLvl w:val="0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89" w:type="dxa"/>
            <w:vMerge w:val="continue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907" w:type="dxa"/>
            <w:noWrap w:val="0"/>
            <w:vAlign w:val="top"/>
          </w:tcPr>
          <w:p>
            <w:pPr>
              <w:jc w:val="center"/>
              <w:outlineLvl w:val="0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jc w:val="center"/>
              <w:outlineLvl w:val="0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89" w:type="dxa"/>
            <w:vMerge w:val="continue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907" w:type="dxa"/>
            <w:noWrap w:val="0"/>
            <w:vAlign w:val="top"/>
          </w:tcPr>
          <w:p>
            <w:pPr>
              <w:jc w:val="center"/>
              <w:outlineLvl w:val="0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优秀奖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jc w:val="center"/>
              <w:outlineLvl w:val="0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89" w:type="dxa"/>
            <w:vMerge w:val="restart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Ⅱ乙</w:t>
            </w:r>
          </w:p>
        </w:tc>
        <w:tc>
          <w:tcPr>
            <w:tcW w:w="3907" w:type="dxa"/>
            <w:noWrap w:val="0"/>
            <w:vAlign w:val="top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一等奖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及以上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89" w:type="dxa"/>
            <w:vMerge w:val="continue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907" w:type="dxa"/>
            <w:noWrap w:val="0"/>
            <w:vAlign w:val="top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89" w:type="dxa"/>
            <w:vMerge w:val="continue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907" w:type="dxa"/>
            <w:noWrap w:val="0"/>
            <w:vAlign w:val="top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89" w:type="dxa"/>
            <w:vMerge w:val="continue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907" w:type="dxa"/>
            <w:noWrap w:val="0"/>
            <w:vAlign w:val="top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优秀奖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jc w:val="center"/>
              <w:outlineLvl w:val="0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89" w:type="dxa"/>
            <w:vMerge w:val="restart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Ⅲ甲、Ⅲ乙</w:t>
            </w:r>
          </w:p>
        </w:tc>
        <w:tc>
          <w:tcPr>
            <w:tcW w:w="3907" w:type="dxa"/>
            <w:noWrap w:val="0"/>
            <w:vAlign w:val="top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一等奖</w:t>
            </w:r>
            <w:r>
              <w:rPr>
                <w:rFonts w:ascii="仿宋_GB2312" w:eastAsia="仿宋_GB2312"/>
                <w:sz w:val="32"/>
                <w:szCs w:val="32"/>
              </w:rPr>
              <w:t>及以上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jc w:val="center"/>
              <w:outlineLvl w:val="0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89" w:type="dxa"/>
            <w:vMerge w:val="continue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07" w:type="dxa"/>
            <w:noWrap w:val="0"/>
            <w:vAlign w:val="top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二等奖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jc w:val="center"/>
              <w:outlineLvl w:val="0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0.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04</w:t>
            </w:r>
          </w:p>
        </w:tc>
      </w:tr>
    </w:tbl>
    <w:p>
      <w:pPr>
        <w:widowControl/>
        <w:numPr>
          <w:ilvl w:val="0"/>
          <w:numId w:val="2"/>
        </w:numPr>
        <w:ind w:left="0" w:leftChars="0" w:firstLine="640" w:firstLineChars="200"/>
        <w:jc w:val="left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eastAsia="zh-CN"/>
        </w:rPr>
        <w:t>参加创新项目的学分认定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项目组成员只取前五名加分，其中国家级创新项目负责人获全额分数，团队成员加一半的分数；省部级创新项目负责人获全额分数，团队成员加一半的分数；校级创新项目负责人获全额分数，团队成员加一半的分数。团队成员排序以项目申报书中的排序为准，如有调整，必须出具指导老师及团队所有成员签字的团队排序证明。如果因排序问题发生争议，则该项目不予以认定。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5"/>
        <w:gridCol w:w="3812"/>
        <w:gridCol w:w="2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5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项目级别</w:t>
            </w:r>
          </w:p>
        </w:tc>
        <w:tc>
          <w:tcPr>
            <w:tcW w:w="3812" w:type="dxa"/>
            <w:noWrap w:val="0"/>
            <w:vAlign w:val="top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项目情况</w:t>
            </w:r>
          </w:p>
        </w:tc>
        <w:tc>
          <w:tcPr>
            <w:tcW w:w="2548" w:type="dxa"/>
            <w:noWrap w:val="0"/>
            <w:vAlign w:val="top"/>
          </w:tcPr>
          <w:p>
            <w:pPr>
              <w:ind w:left="-63" w:leftChars="-30"/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认定分数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245" w:type="dxa"/>
            <w:vMerge w:val="restart"/>
            <w:noWrap w:val="0"/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国家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级</w:t>
            </w:r>
          </w:p>
          <w:p>
            <w:pPr>
              <w:jc w:val="center"/>
              <w:outlineLvl w:val="0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创新项目</w:t>
            </w:r>
          </w:p>
        </w:tc>
        <w:tc>
          <w:tcPr>
            <w:tcW w:w="3812" w:type="dxa"/>
            <w:noWrap w:val="0"/>
            <w:vAlign w:val="top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结题优秀</w:t>
            </w:r>
          </w:p>
        </w:tc>
        <w:tc>
          <w:tcPr>
            <w:tcW w:w="2548" w:type="dxa"/>
            <w:noWrap w:val="0"/>
            <w:vAlign w:val="top"/>
          </w:tcPr>
          <w:p>
            <w:pPr>
              <w:jc w:val="center"/>
              <w:outlineLvl w:val="0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245" w:type="dxa"/>
            <w:vMerge w:val="continue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812" w:type="dxa"/>
            <w:noWrap w:val="0"/>
            <w:vAlign w:val="top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结题合格</w:t>
            </w:r>
          </w:p>
        </w:tc>
        <w:tc>
          <w:tcPr>
            <w:tcW w:w="2548" w:type="dxa"/>
            <w:noWrap w:val="0"/>
            <w:vAlign w:val="top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245" w:type="dxa"/>
            <w:vMerge w:val="continue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812" w:type="dxa"/>
            <w:noWrap w:val="0"/>
            <w:vAlign w:val="top"/>
          </w:tcPr>
          <w:p>
            <w:pPr>
              <w:jc w:val="center"/>
              <w:outlineLvl w:val="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立项未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结题</w:t>
            </w:r>
          </w:p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（仅认定通过中期检查但没有验收的项目）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45" w:type="dxa"/>
            <w:vMerge w:val="restart"/>
            <w:noWrap w:val="0"/>
            <w:vAlign w:val="center"/>
          </w:tcPr>
          <w:p>
            <w:pPr>
              <w:jc w:val="center"/>
              <w:outlineLvl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省部</w:t>
            </w:r>
            <w:r>
              <w:rPr>
                <w:rFonts w:ascii="仿宋_GB2312" w:eastAsia="仿宋_GB2312"/>
                <w:sz w:val="32"/>
                <w:szCs w:val="32"/>
              </w:rPr>
              <w:t>级</w:t>
            </w:r>
          </w:p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创新</w:t>
            </w:r>
            <w:r>
              <w:rPr>
                <w:rFonts w:ascii="仿宋_GB2312" w:eastAsia="仿宋_GB2312"/>
                <w:sz w:val="32"/>
                <w:szCs w:val="32"/>
              </w:rPr>
              <w:t>项目</w:t>
            </w:r>
          </w:p>
        </w:tc>
        <w:tc>
          <w:tcPr>
            <w:tcW w:w="3812" w:type="dxa"/>
            <w:noWrap w:val="0"/>
            <w:vAlign w:val="top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结题优秀</w:t>
            </w:r>
          </w:p>
        </w:tc>
        <w:tc>
          <w:tcPr>
            <w:tcW w:w="2548" w:type="dxa"/>
            <w:noWrap w:val="0"/>
            <w:vAlign w:val="top"/>
          </w:tcPr>
          <w:p>
            <w:pPr>
              <w:jc w:val="center"/>
              <w:outlineLvl w:val="0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45" w:type="dxa"/>
            <w:vMerge w:val="continue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812" w:type="dxa"/>
            <w:noWrap w:val="0"/>
            <w:vAlign w:val="top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结题合格</w:t>
            </w:r>
          </w:p>
        </w:tc>
        <w:tc>
          <w:tcPr>
            <w:tcW w:w="2548" w:type="dxa"/>
            <w:noWrap w:val="0"/>
            <w:vAlign w:val="top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45" w:type="dxa"/>
            <w:vMerge w:val="continue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812" w:type="dxa"/>
            <w:noWrap w:val="0"/>
            <w:vAlign w:val="top"/>
          </w:tcPr>
          <w:p>
            <w:pPr>
              <w:jc w:val="center"/>
              <w:outlineLvl w:val="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立项未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结题</w:t>
            </w:r>
          </w:p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（仅认定通过中期检查但没有验收的项目）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45" w:type="dxa"/>
            <w:vMerge w:val="restart"/>
            <w:noWrap w:val="0"/>
            <w:vAlign w:val="center"/>
          </w:tcPr>
          <w:p>
            <w:pPr>
              <w:jc w:val="center"/>
              <w:outlineLvl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校级</w:t>
            </w:r>
          </w:p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创新</w:t>
            </w:r>
            <w:r>
              <w:rPr>
                <w:rFonts w:ascii="仿宋_GB2312" w:eastAsia="仿宋_GB2312"/>
                <w:sz w:val="32"/>
                <w:szCs w:val="32"/>
              </w:rPr>
              <w:t>项目</w:t>
            </w:r>
          </w:p>
        </w:tc>
        <w:tc>
          <w:tcPr>
            <w:tcW w:w="3812" w:type="dxa"/>
            <w:noWrap w:val="0"/>
            <w:vAlign w:val="top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结题良好/优秀</w:t>
            </w:r>
          </w:p>
        </w:tc>
        <w:tc>
          <w:tcPr>
            <w:tcW w:w="2548" w:type="dxa"/>
            <w:noWrap w:val="0"/>
            <w:vAlign w:val="top"/>
          </w:tcPr>
          <w:p>
            <w:pPr>
              <w:jc w:val="center"/>
              <w:outlineLvl w:val="0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45" w:type="dxa"/>
            <w:vMerge w:val="continue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812" w:type="dxa"/>
            <w:noWrap w:val="0"/>
            <w:vAlign w:val="top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结题合格</w:t>
            </w:r>
          </w:p>
        </w:tc>
        <w:tc>
          <w:tcPr>
            <w:tcW w:w="2548" w:type="dxa"/>
            <w:noWrap w:val="0"/>
            <w:vAlign w:val="top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45" w:type="dxa"/>
            <w:vMerge w:val="continue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812" w:type="dxa"/>
            <w:noWrap w:val="0"/>
            <w:vAlign w:val="top"/>
          </w:tcPr>
          <w:p>
            <w:pPr>
              <w:jc w:val="center"/>
              <w:outlineLvl w:val="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立项未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结题</w:t>
            </w:r>
          </w:p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（仅认定通过中期检查但没有验收的项目）</w:t>
            </w:r>
          </w:p>
        </w:tc>
        <w:tc>
          <w:tcPr>
            <w:tcW w:w="2548" w:type="dxa"/>
            <w:noWrap w:val="0"/>
            <w:vAlign w:val="top"/>
          </w:tcPr>
          <w:p>
            <w:pPr>
              <w:jc w:val="center"/>
              <w:outlineLvl w:val="0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0.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45" w:type="dxa"/>
            <w:vMerge w:val="restart"/>
            <w:noWrap w:val="0"/>
            <w:vAlign w:val="center"/>
          </w:tcPr>
          <w:p>
            <w:pPr>
              <w:jc w:val="center"/>
              <w:outlineLvl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院级</w:t>
            </w:r>
          </w:p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创新项目</w:t>
            </w:r>
          </w:p>
        </w:tc>
        <w:tc>
          <w:tcPr>
            <w:tcW w:w="3812" w:type="dxa"/>
            <w:noWrap w:val="0"/>
            <w:vAlign w:val="top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bookmarkStart w:id="0" w:name="OLE_LINK1"/>
            <w:bookmarkStart w:id="1" w:name="OLE_LINK2"/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结题良好/优秀</w:t>
            </w:r>
            <w:bookmarkEnd w:id="0"/>
            <w:bookmarkEnd w:id="1"/>
          </w:p>
        </w:tc>
        <w:tc>
          <w:tcPr>
            <w:tcW w:w="2548" w:type="dxa"/>
            <w:noWrap w:val="0"/>
            <w:vAlign w:val="top"/>
          </w:tcPr>
          <w:p>
            <w:pPr>
              <w:jc w:val="center"/>
              <w:outlineLvl w:val="0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45" w:type="dxa"/>
            <w:vMerge w:val="continue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812" w:type="dxa"/>
            <w:noWrap w:val="0"/>
            <w:vAlign w:val="top"/>
          </w:tcPr>
          <w:p>
            <w:pPr>
              <w:jc w:val="center"/>
              <w:outlineLvl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结题合格</w:t>
            </w:r>
          </w:p>
        </w:tc>
        <w:tc>
          <w:tcPr>
            <w:tcW w:w="2548" w:type="dxa"/>
            <w:noWrap w:val="0"/>
            <w:vAlign w:val="top"/>
          </w:tcPr>
          <w:p>
            <w:pPr>
              <w:jc w:val="center"/>
              <w:outlineLvl w:val="0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0.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02</w:t>
            </w:r>
          </w:p>
        </w:tc>
      </w:tr>
    </w:tbl>
    <w:p>
      <w:pPr>
        <w:widowControl/>
        <w:numPr>
          <w:ilvl w:val="0"/>
          <w:numId w:val="2"/>
        </w:numPr>
        <w:ind w:left="0" w:leftChars="0" w:firstLine="640" w:firstLineChars="200"/>
        <w:jc w:val="left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本科生学术论坛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eastAsia="zh-CN"/>
        </w:rPr>
        <w:t>的学分认定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参加本科生学术论坛，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  <w:t>特等奖、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一等奖论文计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  <w:t>0.1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分，二等奖计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  <w:t>0.05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分，三等奖计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  <w:t>0.02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分。第一作者获全额分数，以后位次获一半分数。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（五）素质拓展分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  <w:t>总计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不高于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  <w:lang w:val="en-US" w:eastAsia="zh-CN"/>
        </w:rPr>
        <w:t>0.2</w:t>
      </w:r>
      <w:r>
        <w:rPr>
          <w:rFonts w:hint="eastAsia" w:ascii="仿宋_GB2312" w:hAnsi="宋体" w:eastAsia="仿宋_GB2312" w:cs="宋体"/>
          <w:color w:val="000000"/>
          <w:sz w:val="32"/>
          <w:szCs w:val="32"/>
          <w:highlight w:val="none"/>
        </w:rPr>
        <w:t>分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评分依据包括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评优评奖、</w:t>
      </w:r>
      <w:r>
        <w:rPr>
          <w:rFonts w:ascii="仿宋_GB2312" w:hAnsi="宋体" w:eastAsia="仿宋_GB2312" w:cs="宋体"/>
          <w:color w:val="000000"/>
          <w:sz w:val="32"/>
          <w:szCs w:val="32"/>
        </w:rPr>
        <w:t>参军入伍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服兵役、到国际组织实习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方面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评优评奖取最高项得分，不重复计分；</w:t>
      </w:r>
      <w:r>
        <w:rPr>
          <w:rFonts w:ascii="仿宋_GB2312" w:hAnsi="宋体" w:eastAsia="仿宋_GB2312" w:cs="宋体"/>
          <w:color w:val="000000"/>
          <w:sz w:val="32"/>
          <w:szCs w:val="32"/>
        </w:rPr>
        <w:t>参军入伍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服兵役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计0.1分；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到国际组织实习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计0.1分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。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4748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 w:cs="宋体"/>
                <w:sz w:val="28"/>
              </w:rPr>
              <w:t>类别</w:t>
            </w:r>
          </w:p>
        </w:tc>
        <w:tc>
          <w:tcPr>
            <w:tcW w:w="4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 w:cs="宋体"/>
                <w:sz w:val="28"/>
              </w:rPr>
              <w:t>项目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 w:cs="宋体"/>
                <w:sz w:val="28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 w:cs="宋体"/>
                <w:sz w:val="28"/>
              </w:rPr>
              <w:t>省部级及以上表彰</w:t>
            </w:r>
          </w:p>
        </w:tc>
        <w:tc>
          <w:tcPr>
            <w:tcW w:w="4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 w:cs="宋体"/>
                <w:sz w:val="28"/>
              </w:rPr>
              <w:t>全国</w:t>
            </w:r>
            <w:r>
              <w:rPr>
                <w:rFonts w:ascii="仿宋" w:hAnsi="仿宋" w:eastAsia="仿宋" w:cs="宋体"/>
                <w:sz w:val="28"/>
              </w:rPr>
              <w:t>优秀</w:t>
            </w:r>
            <w:r>
              <w:rPr>
                <w:rFonts w:hint="eastAsia" w:ascii="仿宋" w:hAnsi="仿宋" w:eastAsia="仿宋" w:cs="宋体"/>
                <w:sz w:val="28"/>
              </w:rPr>
              <w:t>共青团员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</w:rPr>
            </w:pPr>
          </w:p>
        </w:tc>
        <w:tc>
          <w:tcPr>
            <w:tcW w:w="4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 w:cs="宋体"/>
                <w:sz w:val="28"/>
              </w:rPr>
              <w:t>全国</w:t>
            </w:r>
            <w:r>
              <w:rPr>
                <w:rFonts w:ascii="仿宋" w:hAnsi="仿宋" w:eastAsia="仿宋" w:cs="宋体"/>
                <w:sz w:val="28"/>
              </w:rPr>
              <w:t>大学生年度</w:t>
            </w:r>
            <w:r>
              <w:rPr>
                <w:rFonts w:hint="eastAsia" w:ascii="仿宋" w:hAnsi="仿宋" w:eastAsia="仿宋" w:cs="宋体"/>
                <w:sz w:val="28"/>
              </w:rPr>
              <w:t>人物（含提名）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 w:cs="宋体"/>
                <w:sz w:val="28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</w:rPr>
            </w:pPr>
          </w:p>
        </w:tc>
        <w:tc>
          <w:tcPr>
            <w:tcW w:w="4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 w:cs="宋体"/>
                <w:sz w:val="28"/>
              </w:rPr>
              <w:t>全国</w:t>
            </w:r>
            <w:r>
              <w:rPr>
                <w:rFonts w:ascii="仿宋" w:hAnsi="仿宋" w:eastAsia="仿宋" w:cs="宋体"/>
                <w:sz w:val="28"/>
              </w:rPr>
              <w:t>大学生自强之星</w:t>
            </w:r>
            <w:r>
              <w:rPr>
                <w:rFonts w:hint="eastAsia" w:ascii="仿宋" w:hAnsi="仿宋" w:eastAsia="仿宋" w:cs="宋体"/>
                <w:sz w:val="28"/>
              </w:rPr>
              <w:t>（含</w:t>
            </w:r>
            <w:r>
              <w:rPr>
                <w:rFonts w:ascii="仿宋" w:hAnsi="仿宋" w:eastAsia="仿宋" w:cs="宋体"/>
                <w:sz w:val="28"/>
              </w:rPr>
              <w:t>提名</w:t>
            </w:r>
            <w:r>
              <w:rPr>
                <w:rFonts w:hint="eastAsia" w:ascii="仿宋" w:hAnsi="仿宋" w:eastAsia="仿宋" w:cs="宋体"/>
                <w:sz w:val="28"/>
              </w:rPr>
              <w:t>）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 w:cs="宋体"/>
                <w:sz w:val="28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</w:rPr>
            </w:pPr>
          </w:p>
        </w:tc>
        <w:tc>
          <w:tcPr>
            <w:tcW w:w="4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 w:cs="宋体"/>
                <w:sz w:val="28"/>
              </w:rPr>
              <w:t>江苏省</w:t>
            </w:r>
            <w:r>
              <w:rPr>
                <w:rFonts w:ascii="仿宋" w:hAnsi="仿宋" w:eastAsia="仿宋" w:cs="宋体"/>
                <w:sz w:val="28"/>
              </w:rPr>
              <w:t>大学生年度人物（</w:t>
            </w:r>
            <w:r>
              <w:rPr>
                <w:rFonts w:hint="eastAsia" w:ascii="仿宋" w:hAnsi="仿宋" w:eastAsia="仿宋" w:cs="宋体"/>
                <w:sz w:val="28"/>
              </w:rPr>
              <w:t>含</w:t>
            </w:r>
            <w:r>
              <w:rPr>
                <w:rFonts w:ascii="仿宋" w:hAnsi="仿宋" w:eastAsia="仿宋" w:cs="宋体"/>
                <w:sz w:val="28"/>
              </w:rPr>
              <w:t>提名）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 w:cs="宋体"/>
                <w:sz w:val="28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</w:rPr>
            </w:pPr>
          </w:p>
        </w:tc>
        <w:tc>
          <w:tcPr>
            <w:tcW w:w="4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 w:cs="宋体"/>
                <w:sz w:val="28"/>
              </w:rPr>
              <w:t>江苏省</w:t>
            </w:r>
            <w:r>
              <w:rPr>
                <w:rFonts w:ascii="仿宋" w:hAnsi="仿宋" w:eastAsia="仿宋" w:cs="宋体"/>
                <w:sz w:val="28"/>
              </w:rPr>
              <w:t>十佳团支书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lang w:val="en-US" w:eastAsia="zh-CN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</w:rPr>
            </w:pPr>
          </w:p>
        </w:tc>
        <w:tc>
          <w:tcPr>
            <w:tcW w:w="4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 w:cs="宋体"/>
                <w:sz w:val="28"/>
              </w:rPr>
              <w:t>江苏省</w:t>
            </w:r>
            <w:r>
              <w:rPr>
                <w:rFonts w:ascii="仿宋" w:hAnsi="仿宋" w:eastAsia="仿宋" w:cs="宋体"/>
                <w:sz w:val="28"/>
              </w:rPr>
              <w:t>优秀共青团</w:t>
            </w:r>
            <w:r>
              <w:rPr>
                <w:rFonts w:hint="eastAsia" w:ascii="仿宋" w:hAnsi="仿宋" w:eastAsia="仿宋" w:cs="宋体"/>
                <w:sz w:val="28"/>
              </w:rPr>
              <w:t>员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28"/>
                <w:lang w:val="en-US"/>
              </w:rPr>
            </w:pPr>
            <w:r>
              <w:rPr>
                <w:rFonts w:hint="eastAsia" w:ascii="仿宋" w:hAnsi="仿宋" w:eastAsia="仿宋" w:cs="宋体"/>
                <w:sz w:val="28"/>
                <w:lang w:val="en-US" w:eastAsia="zh-CN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</w:rPr>
            </w:pPr>
          </w:p>
        </w:tc>
        <w:tc>
          <w:tcPr>
            <w:tcW w:w="4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 w:cs="宋体"/>
                <w:sz w:val="28"/>
              </w:rPr>
              <w:t>国家</w:t>
            </w:r>
            <w:r>
              <w:rPr>
                <w:rFonts w:ascii="仿宋" w:hAnsi="仿宋" w:eastAsia="仿宋" w:cs="宋体"/>
                <w:sz w:val="28"/>
              </w:rPr>
              <w:t>奖学金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</w:rPr>
            </w:pPr>
          </w:p>
        </w:tc>
        <w:tc>
          <w:tcPr>
            <w:tcW w:w="4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 w:cs="宋体"/>
                <w:sz w:val="28"/>
              </w:rPr>
              <w:t>江苏省</w:t>
            </w:r>
            <w:r>
              <w:rPr>
                <w:rFonts w:ascii="仿宋" w:hAnsi="仿宋" w:eastAsia="仿宋" w:cs="宋体"/>
                <w:sz w:val="28"/>
              </w:rPr>
              <w:t>三好学生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 w:cs="宋体"/>
                <w:sz w:val="28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</w:rPr>
            </w:pPr>
          </w:p>
        </w:tc>
        <w:tc>
          <w:tcPr>
            <w:tcW w:w="4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 w:cs="宋体"/>
                <w:sz w:val="28"/>
              </w:rPr>
              <w:t>江苏省</w:t>
            </w:r>
            <w:r>
              <w:rPr>
                <w:rFonts w:ascii="仿宋" w:hAnsi="仿宋" w:eastAsia="仿宋" w:cs="宋体"/>
                <w:sz w:val="28"/>
              </w:rPr>
              <w:t>优秀学生干部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 w:cs="宋体"/>
                <w:sz w:val="28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 w:cs="宋体"/>
                <w:sz w:val="28"/>
              </w:rPr>
              <w:t>校级表彰</w:t>
            </w:r>
          </w:p>
        </w:tc>
        <w:tc>
          <w:tcPr>
            <w:tcW w:w="4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 w:cs="宋体"/>
                <w:sz w:val="28"/>
              </w:rPr>
              <w:t>校长特别嘉奖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28"/>
                <w:lang w:val="en-US"/>
              </w:rPr>
            </w:pPr>
            <w:r>
              <w:rPr>
                <w:rFonts w:hint="eastAsia" w:ascii="仿宋" w:hAnsi="仿宋" w:eastAsia="仿宋" w:cs="宋体"/>
                <w:sz w:val="28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</w:rPr>
            </w:pPr>
          </w:p>
        </w:tc>
        <w:tc>
          <w:tcPr>
            <w:tcW w:w="4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 w:cs="宋体"/>
                <w:sz w:val="28"/>
              </w:rPr>
              <w:t>十大杰出</w:t>
            </w:r>
            <w:r>
              <w:rPr>
                <w:rFonts w:ascii="仿宋" w:hAnsi="仿宋" w:eastAsia="仿宋" w:cs="宋体"/>
                <w:sz w:val="28"/>
              </w:rPr>
              <w:t>青年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28"/>
                <w:lang w:val="en-US"/>
              </w:rPr>
            </w:pPr>
            <w:r>
              <w:rPr>
                <w:rFonts w:hint="eastAsia" w:ascii="仿宋" w:hAnsi="仿宋" w:eastAsia="仿宋" w:cs="宋体"/>
                <w:sz w:val="28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</w:rPr>
            </w:pPr>
          </w:p>
        </w:tc>
        <w:tc>
          <w:tcPr>
            <w:tcW w:w="4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 w:cs="宋体"/>
                <w:sz w:val="28"/>
              </w:rPr>
              <w:t>十大</w:t>
            </w:r>
            <w:r>
              <w:rPr>
                <w:rFonts w:ascii="仿宋" w:hAnsi="仿宋" w:eastAsia="仿宋" w:cs="宋体"/>
                <w:sz w:val="28"/>
              </w:rPr>
              <w:t>杰出青年提名奖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lang w:val="en-US" w:eastAsia="zh-CN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</w:rPr>
            </w:pPr>
          </w:p>
        </w:tc>
        <w:tc>
          <w:tcPr>
            <w:tcW w:w="4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 w:cs="宋体"/>
                <w:sz w:val="28"/>
              </w:rPr>
              <w:t>年度特别嘉奖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 w:cs="宋体"/>
                <w:sz w:val="28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</w:rPr>
            </w:pPr>
          </w:p>
        </w:tc>
        <w:tc>
          <w:tcPr>
            <w:tcW w:w="4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 w:cs="宋体"/>
                <w:sz w:val="28"/>
              </w:rPr>
              <w:t>校</w:t>
            </w:r>
            <w:r>
              <w:rPr>
                <w:rFonts w:ascii="仿宋" w:hAnsi="仿宋" w:eastAsia="仿宋" w:cs="宋体"/>
                <w:sz w:val="28"/>
              </w:rPr>
              <w:t>百佳青年</w:t>
            </w:r>
            <w:r>
              <w:rPr>
                <w:rFonts w:hint="eastAsia" w:ascii="仿宋" w:hAnsi="仿宋" w:eastAsia="仿宋" w:cs="宋体"/>
                <w:sz w:val="28"/>
              </w:rPr>
              <w:t>(以</w:t>
            </w:r>
            <w:r>
              <w:rPr>
                <w:rFonts w:ascii="仿宋" w:hAnsi="仿宋" w:eastAsia="仿宋" w:cs="宋体"/>
                <w:sz w:val="28"/>
              </w:rPr>
              <w:t>今年评选为起始日期</w:t>
            </w:r>
            <w:r>
              <w:rPr>
                <w:rFonts w:hint="eastAsia" w:ascii="仿宋" w:hAnsi="仿宋" w:eastAsia="仿宋" w:cs="宋体"/>
                <w:sz w:val="28"/>
              </w:rPr>
              <w:t>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</w:rPr>
            </w:pPr>
          </w:p>
        </w:tc>
        <w:tc>
          <w:tcPr>
            <w:tcW w:w="47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 w:cs="宋体"/>
                <w:sz w:val="28"/>
              </w:rPr>
              <w:t>校</w:t>
            </w:r>
            <w:r>
              <w:rPr>
                <w:rFonts w:ascii="仿宋" w:hAnsi="仿宋" w:eastAsia="仿宋" w:cs="宋体"/>
                <w:sz w:val="28"/>
              </w:rPr>
              <w:t>十大优秀青年志愿者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 w:cs="宋体"/>
                <w:sz w:val="28"/>
                <w:lang w:val="en-US" w:eastAsia="zh-CN"/>
              </w:rPr>
              <w:t>0.05</w:t>
            </w:r>
          </w:p>
        </w:tc>
      </w:tr>
    </w:tbl>
    <w:p>
      <w:pPr>
        <w:widowControl/>
        <w:numPr>
          <w:ilvl w:val="0"/>
          <w:numId w:val="3"/>
        </w:numPr>
        <w:jc w:val="left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以上未尽事项，由学院推免工作组具有最终解释权。</w:t>
      </w:r>
    </w:p>
    <w:p>
      <w:pPr>
        <w:widowControl/>
        <w:numPr>
          <w:ilvl w:val="0"/>
          <w:numId w:val="0"/>
        </w:numPr>
        <w:jc w:val="left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</w:p>
    <w:p>
      <w:pPr>
        <w:ind w:firstLine="435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机电</w:t>
      </w:r>
      <w:r>
        <w:rPr>
          <w:rFonts w:ascii="仿宋_GB2312" w:eastAsia="仿宋_GB2312"/>
          <w:sz w:val="32"/>
          <w:szCs w:val="32"/>
        </w:rPr>
        <w:t>学院</w:t>
      </w:r>
    </w:p>
    <w:p>
      <w:pPr>
        <w:widowControl/>
        <w:numPr>
          <w:ilvl w:val="0"/>
          <w:numId w:val="0"/>
        </w:numPr>
        <w:jc w:val="right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</w:rPr>
        <w:t>日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2CD847"/>
    <w:multiLevelType w:val="singleLevel"/>
    <w:tmpl w:val="B72CD847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E3B39C55"/>
    <w:multiLevelType w:val="singleLevel"/>
    <w:tmpl w:val="E3B39C55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C3A15B0"/>
    <w:multiLevelType w:val="multilevel"/>
    <w:tmpl w:val="7C3A15B0"/>
    <w:lvl w:ilvl="0" w:tentative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CE749E"/>
    <w:rsid w:val="000D3F78"/>
    <w:rsid w:val="000F40E2"/>
    <w:rsid w:val="001566E0"/>
    <w:rsid w:val="00167A37"/>
    <w:rsid w:val="001A6C72"/>
    <w:rsid w:val="001D00EB"/>
    <w:rsid w:val="00217563"/>
    <w:rsid w:val="00222883"/>
    <w:rsid w:val="002356D8"/>
    <w:rsid w:val="00290A0C"/>
    <w:rsid w:val="002D4F24"/>
    <w:rsid w:val="003057D1"/>
    <w:rsid w:val="00317143"/>
    <w:rsid w:val="0034289D"/>
    <w:rsid w:val="00374CF3"/>
    <w:rsid w:val="003F4574"/>
    <w:rsid w:val="00421C5B"/>
    <w:rsid w:val="0042341E"/>
    <w:rsid w:val="004B7EE6"/>
    <w:rsid w:val="00524C8E"/>
    <w:rsid w:val="00526F68"/>
    <w:rsid w:val="005522EC"/>
    <w:rsid w:val="005D31A5"/>
    <w:rsid w:val="00603B29"/>
    <w:rsid w:val="0062237B"/>
    <w:rsid w:val="0063224D"/>
    <w:rsid w:val="00641FBD"/>
    <w:rsid w:val="00643ED1"/>
    <w:rsid w:val="006442AA"/>
    <w:rsid w:val="00660E9E"/>
    <w:rsid w:val="006956F9"/>
    <w:rsid w:val="006B13E5"/>
    <w:rsid w:val="0070210C"/>
    <w:rsid w:val="00706C06"/>
    <w:rsid w:val="00747A4E"/>
    <w:rsid w:val="00782942"/>
    <w:rsid w:val="008249EE"/>
    <w:rsid w:val="00846CCA"/>
    <w:rsid w:val="008A1192"/>
    <w:rsid w:val="008E42A5"/>
    <w:rsid w:val="008F270B"/>
    <w:rsid w:val="00915433"/>
    <w:rsid w:val="00987D9E"/>
    <w:rsid w:val="00992EBC"/>
    <w:rsid w:val="00A51D69"/>
    <w:rsid w:val="00A54E27"/>
    <w:rsid w:val="00AE1173"/>
    <w:rsid w:val="00AF4461"/>
    <w:rsid w:val="00B357BF"/>
    <w:rsid w:val="00BC0B37"/>
    <w:rsid w:val="00CC1414"/>
    <w:rsid w:val="00CC62E5"/>
    <w:rsid w:val="00D16FE8"/>
    <w:rsid w:val="00DC6CD3"/>
    <w:rsid w:val="00E60EC5"/>
    <w:rsid w:val="00E87620"/>
    <w:rsid w:val="00EB7945"/>
    <w:rsid w:val="00F153C4"/>
    <w:rsid w:val="00F7073D"/>
    <w:rsid w:val="00FD1CDD"/>
    <w:rsid w:val="00FF7C92"/>
    <w:rsid w:val="03BB2AA9"/>
    <w:rsid w:val="06DA462F"/>
    <w:rsid w:val="08D62913"/>
    <w:rsid w:val="0B0E6CF0"/>
    <w:rsid w:val="0B634D83"/>
    <w:rsid w:val="0CF8149A"/>
    <w:rsid w:val="0E330277"/>
    <w:rsid w:val="0EA02273"/>
    <w:rsid w:val="0F3A7285"/>
    <w:rsid w:val="11A94472"/>
    <w:rsid w:val="1410318D"/>
    <w:rsid w:val="16134205"/>
    <w:rsid w:val="16392E6C"/>
    <w:rsid w:val="1705061B"/>
    <w:rsid w:val="184D6CC3"/>
    <w:rsid w:val="19516CCA"/>
    <w:rsid w:val="1AA934F6"/>
    <w:rsid w:val="1AF878C5"/>
    <w:rsid w:val="1C6D6502"/>
    <w:rsid w:val="1CBA1FF8"/>
    <w:rsid w:val="1DAD689E"/>
    <w:rsid w:val="20634879"/>
    <w:rsid w:val="21FD0A0E"/>
    <w:rsid w:val="23952A11"/>
    <w:rsid w:val="265C0D7B"/>
    <w:rsid w:val="26D47A6E"/>
    <w:rsid w:val="28321E71"/>
    <w:rsid w:val="286B5961"/>
    <w:rsid w:val="28942B71"/>
    <w:rsid w:val="298D23A9"/>
    <w:rsid w:val="2A8D4237"/>
    <w:rsid w:val="2E861B82"/>
    <w:rsid w:val="2EBC214D"/>
    <w:rsid w:val="2F6A0F36"/>
    <w:rsid w:val="30AD0364"/>
    <w:rsid w:val="31FA311B"/>
    <w:rsid w:val="34226247"/>
    <w:rsid w:val="36491E13"/>
    <w:rsid w:val="394837C1"/>
    <w:rsid w:val="39587511"/>
    <w:rsid w:val="3BC401D9"/>
    <w:rsid w:val="3BD8279D"/>
    <w:rsid w:val="3BF13AF8"/>
    <w:rsid w:val="3DCF1126"/>
    <w:rsid w:val="3E700E09"/>
    <w:rsid w:val="3F96572D"/>
    <w:rsid w:val="3FD4680E"/>
    <w:rsid w:val="413663E9"/>
    <w:rsid w:val="41606D49"/>
    <w:rsid w:val="421332D0"/>
    <w:rsid w:val="45B313FC"/>
    <w:rsid w:val="47AF5A51"/>
    <w:rsid w:val="47FE5FF1"/>
    <w:rsid w:val="481B569F"/>
    <w:rsid w:val="48B44DD4"/>
    <w:rsid w:val="4A18199B"/>
    <w:rsid w:val="4B7554A2"/>
    <w:rsid w:val="4BE9048E"/>
    <w:rsid w:val="4EB40B1F"/>
    <w:rsid w:val="4F325D26"/>
    <w:rsid w:val="51B60A25"/>
    <w:rsid w:val="52E43D23"/>
    <w:rsid w:val="52E44609"/>
    <w:rsid w:val="55A72D85"/>
    <w:rsid w:val="57DF69ED"/>
    <w:rsid w:val="58996D01"/>
    <w:rsid w:val="5B540DD9"/>
    <w:rsid w:val="5BCD071C"/>
    <w:rsid w:val="5DAA5139"/>
    <w:rsid w:val="5E84267D"/>
    <w:rsid w:val="5F760480"/>
    <w:rsid w:val="5FAA254A"/>
    <w:rsid w:val="60591FA3"/>
    <w:rsid w:val="609E1153"/>
    <w:rsid w:val="633B5297"/>
    <w:rsid w:val="636C0373"/>
    <w:rsid w:val="63B6711F"/>
    <w:rsid w:val="64DD193C"/>
    <w:rsid w:val="65071259"/>
    <w:rsid w:val="65AD148B"/>
    <w:rsid w:val="66F950A1"/>
    <w:rsid w:val="69380FCE"/>
    <w:rsid w:val="69417725"/>
    <w:rsid w:val="6A991C06"/>
    <w:rsid w:val="6CF379C3"/>
    <w:rsid w:val="6D8F4DEA"/>
    <w:rsid w:val="6DC62B30"/>
    <w:rsid w:val="6DCE749E"/>
    <w:rsid w:val="6F360F6C"/>
    <w:rsid w:val="73627E42"/>
    <w:rsid w:val="78983D7D"/>
    <w:rsid w:val="7A3C68C8"/>
    <w:rsid w:val="7C200418"/>
    <w:rsid w:val="7D9645BC"/>
    <w:rsid w:val="7DD76F13"/>
    <w:rsid w:val="7DFB6DE1"/>
    <w:rsid w:val="7FC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jc w:val="left"/>
    </w:pPr>
    <w:rPr>
      <w:kern w:val="0"/>
      <w:sz w:val="24"/>
    </w:rPr>
  </w:style>
  <w:style w:type="table" w:styleId="7">
    <w:name w:val="Table Grid"/>
    <w:basedOn w:val="6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basedOn w:val="8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styleId="10">
    <w:name w:val="Placeholder Text"/>
    <w:basedOn w:val="8"/>
    <w:semiHidden/>
    <w:qFormat/>
    <w:uiPriority w:val="99"/>
    <w:rPr>
      <w:color w:val="808080"/>
    </w:rPr>
  </w:style>
  <w:style w:type="paragraph" w:customStyle="1" w:styleId="11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2">
    <w:name w:val="页眉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0"/>
    <w:rPr>
      <w:kern w:val="2"/>
      <w:sz w:val="18"/>
      <w:szCs w:val="18"/>
    </w:rPr>
  </w:style>
  <w:style w:type="paragraph" w:customStyle="1" w:styleId="14">
    <w:name w:val="正文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270</Words>
  <Characters>1542</Characters>
  <Lines>12</Lines>
  <Paragraphs>3</Paragraphs>
  <TotalTime>39</TotalTime>
  <ScaleCrop>false</ScaleCrop>
  <LinksUpToDate>false</LinksUpToDate>
  <CharactersWithSpaces>1809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2021-08-18T08:26:00Z</dcterms:created>
  <dc:creator>卢丽丽</dc:creator>
  <cp:lastModifiedBy>珂欣</cp:lastModifiedBy>
  <cp:lastPrinted>2021-06-03T03:09:00Z</cp:lastPrinted>
  <dcterms:modified xsi:type="dcterms:W3CDTF">2021-09-13T08:20:20Z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AB354F88D92145B79AAD7E4F2A5CA19C</vt:lpwstr>
  </property>
</Properties>
</file>